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51B46" w14:textId="77777777" w:rsidR="0082593A" w:rsidRPr="0082593A" w:rsidRDefault="0082593A" w:rsidP="0082593A">
      <w:pPr>
        <w:ind w:left="-90"/>
        <w:jc w:val="center"/>
        <w:rPr>
          <w:b/>
          <w:bCs/>
        </w:rPr>
      </w:pPr>
      <w:r w:rsidRPr="0082593A">
        <w:rPr>
          <w:b/>
          <w:bCs/>
        </w:rPr>
        <w:t>STANDARD QUALITY ASSURANCE CLAUSES FOR PURCHASE ORDERS</w:t>
      </w:r>
    </w:p>
    <w:p w14:paraId="4F014A4B" w14:textId="77777777" w:rsidR="0082593A" w:rsidRDefault="0082593A" w:rsidP="0082593A">
      <w:pPr>
        <w:ind w:left="-90"/>
        <w:jc w:val="center"/>
        <w:rPr>
          <w:sz w:val="22"/>
        </w:rPr>
      </w:pPr>
    </w:p>
    <w:p w14:paraId="7F8C0931" w14:textId="21310CC3" w:rsidR="0082593A" w:rsidRDefault="0082593A" w:rsidP="0082593A">
      <w:pPr>
        <w:pStyle w:val="ListParagraph"/>
        <w:numPr>
          <w:ilvl w:val="0"/>
          <w:numId w:val="1"/>
        </w:numPr>
        <w:ind w:left="-90"/>
      </w:pPr>
      <w:r>
        <w:rPr>
          <w:b/>
          <w:bCs/>
          <w:u w:val="single"/>
        </w:rPr>
        <w:t>First Article Inspection</w:t>
      </w:r>
      <w:r>
        <w:t xml:space="preserve"> </w:t>
      </w:r>
      <w:r>
        <w:rPr>
          <w:color w:val="000000"/>
        </w:rPr>
        <w:t>Supplier must provide a First Article Inspection Report including, as a minimum - dimensional inspection report, certificate for materials and/or processes utilized, cleanliness</w:t>
      </w:r>
      <w:r>
        <w:t>, where applicable,</w:t>
      </w:r>
      <w:r>
        <w:rPr>
          <w:color w:val="000000"/>
        </w:rPr>
        <w:t xml:space="preserve"> and a first article piece identified. When there are revisions and/or changes to the product specifications, or to the production processes, then a new First Article Inspection Report will be required. Where applicable, supplier is to provide test specimens for design approval, inspection/verification, investigation, or auditing</w:t>
      </w:r>
      <w:r>
        <w:t>.</w:t>
      </w:r>
    </w:p>
    <w:p w14:paraId="71C35400" w14:textId="77777777" w:rsidR="0082593A" w:rsidRDefault="0082593A" w:rsidP="0082593A">
      <w:pPr>
        <w:pStyle w:val="ListParagraph"/>
        <w:ind w:left="-90"/>
      </w:pPr>
    </w:p>
    <w:p w14:paraId="10E3A891" w14:textId="17D40413" w:rsidR="0082593A" w:rsidRPr="0082593A" w:rsidRDefault="0082593A" w:rsidP="0082593A">
      <w:pPr>
        <w:pStyle w:val="ListParagraph"/>
        <w:numPr>
          <w:ilvl w:val="0"/>
          <w:numId w:val="1"/>
        </w:numPr>
        <w:ind w:left="-90"/>
      </w:pPr>
      <w:r>
        <w:rPr>
          <w:b/>
          <w:bCs/>
          <w:u w:val="single"/>
        </w:rPr>
        <w:t xml:space="preserve">Certificate of Compliance </w:t>
      </w:r>
      <w:r>
        <w:rPr>
          <w:color w:val="000000"/>
        </w:rPr>
        <w:t>Supplier must provide a Certificate of Compliance with each shipment of product or services, and include, as a minimum - supplier name, address, date, part number, revision level, purchase order number, quantity shipped, statement of conformity indicating product meets all requirements, and signature of authorized qualified supplier representative.</w:t>
      </w:r>
    </w:p>
    <w:p w14:paraId="3BAD13C9" w14:textId="77777777" w:rsidR="0082593A" w:rsidRDefault="0082593A" w:rsidP="0082593A"/>
    <w:p w14:paraId="342D4BB7" w14:textId="4AA4B104" w:rsidR="0082593A" w:rsidRPr="0082593A" w:rsidRDefault="0082593A" w:rsidP="0082593A">
      <w:pPr>
        <w:pStyle w:val="ListParagraph"/>
        <w:numPr>
          <w:ilvl w:val="0"/>
          <w:numId w:val="1"/>
        </w:numPr>
        <w:ind w:left="-90"/>
      </w:pPr>
      <w:r>
        <w:rPr>
          <w:b/>
          <w:bCs/>
          <w:u w:val="single"/>
        </w:rPr>
        <w:t xml:space="preserve">Certificate of Analysis </w:t>
      </w:r>
      <w:r>
        <w:rPr>
          <w:color w:val="000000"/>
        </w:rPr>
        <w:t>Supplier must provide a Certificate of Analysis with each shipment of product and include, as a minimum - chemical and physical properties traceable to the delivered product and reference to standardized and requested specifications. In specific cases, the Supplier might be required to confirm and declare that the product supplied is free of restricted chemicals under RoHS, REACH, and any other applicable regulations.</w:t>
      </w:r>
    </w:p>
    <w:p w14:paraId="2B27CD1B" w14:textId="77777777" w:rsidR="0082593A" w:rsidRDefault="0082593A" w:rsidP="0082593A"/>
    <w:p w14:paraId="48BE847F" w14:textId="29064699" w:rsidR="0082593A" w:rsidRPr="0082593A" w:rsidRDefault="0082593A" w:rsidP="0082593A">
      <w:pPr>
        <w:pStyle w:val="ListParagraph"/>
        <w:numPr>
          <w:ilvl w:val="0"/>
          <w:numId w:val="1"/>
        </w:numPr>
        <w:ind w:left="-90"/>
      </w:pPr>
      <w:r>
        <w:rPr>
          <w:b/>
          <w:bCs/>
          <w:u w:val="single"/>
        </w:rPr>
        <w:t xml:space="preserve">Special Certification </w:t>
      </w:r>
      <w:r>
        <w:rPr>
          <w:color w:val="000000"/>
        </w:rPr>
        <w:t>In the cases where special process certification is a requirement (plating, painting, coatings, plastics, welding, heat treatment, surface treatment, NDT, etc. ) Supplier must provide proof of certification; and in cases where only "approved" sources may be used, Supplier must provide proof of that approval.</w:t>
      </w:r>
    </w:p>
    <w:p w14:paraId="70CF2B01" w14:textId="77777777" w:rsidR="0082593A" w:rsidRDefault="0082593A" w:rsidP="0082593A"/>
    <w:p w14:paraId="4FEDCDE2" w14:textId="75407208" w:rsidR="0082593A" w:rsidRPr="0082593A" w:rsidRDefault="0082593A" w:rsidP="0082593A">
      <w:pPr>
        <w:pStyle w:val="ListParagraph"/>
        <w:numPr>
          <w:ilvl w:val="0"/>
          <w:numId w:val="1"/>
        </w:numPr>
        <w:ind w:left="-90"/>
      </w:pPr>
      <w:r>
        <w:rPr>
          <w:b/>
          <w:bCs/>
          <w:u w:val="single"/>
        </w:rPr>
        <w:t xml:space="preserve">Control of Nonconforming Product </w:t>
      </w:r>
      <w:r>
        <w:rPr>
          <w:color w:val="000000"/>
        </w:rPr>
        <w:t>Supplier must have established internal controls to identify, disposition, and report the detection of non-conforming product during its internal processes, and must immediately advise and receive approval from ELECTRO INDUST</w:t>
      </w:r>
      <w:r w:rsidR="000D6326">
        <w:rPr>
          <w:color w:val="000000"/>
        </w:rPr>
        <w:t>RI</w:t>
      </w:r>
      <w:r>
        <w:rPr>
          <w:color w:val="000000"/>
        </w:rPr>
        <w:t>ES/GAUGETECH prior to shipping of any non-conforming product to ELECTRO INDUSTRIES/GAUGETECH.</w:t>
      </w:r>
      <w:bookmarkStart w:id="0" w:name="_GoBack"/>
      <w:bookmarkEnd w:id="0"/>
    </w:p>
    <w:p w14:paraId="4EB0031A" w14:textId="77777777" w:rsidR="0082593A" w:rsidRDefault="0082593A" w:rsidP="0082593A"/>
    <w:p w14:paraId="71003775" w14:textId="585A3F68" w:rsidR="0082593A" w:rsidRPr="0082593A" w:rsidRDefault="0082593A" w:rsidP="0082593A">
      <w:pPr>
        <w:pStyle w:val="ListParagraph"/>
        <w:numPr>
          <w:ilvl w:val="0"/>
          <w:numId w:val="1"/>
        </w:numPr>
        <w:ind w:left="-90"/>
      </w:pPr>
      <w:r>
        <w:rPr>
          <w:b/>
          <w:bCs/>
          <w:u w:val="single"/>
        </w:rPr>
        <w:t xml:space="preserve">Process Control </w:t>
      </w:r>
      <w:r>
        <w:rPr>
          <w:color w:val="000000"/>
        </w:rPr>
        <w:t>Supplier must have established internal controls of its production method, process, and equipment, including SPC controls for the defined key characteristics, and design and development control, where applicable. Whenever required, the report format requirements will be transmitted to the Supplier, and the Supplier must provide a documented report with each shipment, and it must be traceable to the production lot. The Supplier is responsible to notify ELECTRO INDUSTRIES/GAUGETECH of any changes in product, change in Suppliers, change of manufacturing facility, and, where required obtain, ELECTRO INDUSTRIES/GAUGETECH’s approval.</w:t>
      </w:r>
    </w:p>
    <w:p w14:paraId="193F4FA0" w14:textId="77777777" w:rsidR="0082593A" w:rsidRDefault="0082593A" w:rsidP="0082593A"/>
    <w:p w14:paraId="305C73F9" w14:textId="77777777" w:rsidR="0082593A" w:rsidRDefault="0082593A" w:rsidP="0082593A">
      <w:pPr>
        <w:pStyle w:val="ListParagraph"/>
        <w:numPr>
          <w:ilvl w:val="0"/>
          <w:numId w:val="1"/>
        </w:numPr>
        <w:ind w:left="-90"/>
      </w:pPr>
      <w:r>
        <w:rPr>
          <w:b/>
          <w:bCs/>
          <w:u w:val="single"/>
        </w:rPr>
        <w:t xml:space="preserve">Shelf Life Material and Perishable Goods </w:t>
      </w:r>
      <w:r>
        <w:rPr>
          <w:color w:val="000000"/>
        </w:rPr>
        <w:t>Supplier is required to clearly label the expiration date, lot number, and storage requirements for material. All age sensitive material must, upon receipt, have 80% of the manufacturer’s stated shelf life remaining.</w:t>
      </w:r>
    </w:p>
    <w:p w14:paraId="65D9E3A8" w14:textId="06633E08" w:rsidR="0082593A" w:rsidRPr="0082593A" w:rsidRDefault="0082593A" w:rsidP="0082593A">
      <w:pPr>
        <w:pStyle w:val="ListParagraph"/>
        <w:numPr>
          <w:ilvl w:val="0"/>
          <w:numId w:val="1"/>
        </w:numPr>
        <w:ind w:left="-90"/>
      </w:pPr>
      <w:r>
        <w:rPr>
          <w:b/>
          <w:bCs/>
          <w:u w:val="single"/>
        </w:rPr>
        <w:lastRenderedPageBreak/>
        <w:t xml:space="preserve">Counterfeit Part/Material Requirements </w:t>
      </w:r>
      <w:r>
        <w:rPr>
          <w:color w:val="000000"/>
        </w:rPr>
        <w:t>All procurements require exclusive use of OCM/OEMS and their authorized distribution chains, unless approved by ELECTRO INDUSTIRES/GAUGETECH. Verification of Authenticity for purchases of parts and material through non-authorized sources must be elevated to ELECTRO INDUSTIRES/GAUGETECH.</w:t>
      </w:r>
    </w:p>
    <w:p w14:paraId="284F747A" w14:textId="77777777" w:rsidR="0082593A" w:rsidRDefault="0082593A" w:rsidP="0082593A"/>
    <w:p w14:paraId="72FF99D1" w14:textId="77522E5D" w:rsidR="0082593A" w:rsidRPr="0082593A" w:rsidRDefault="0082593A" w:rsidP="0082593A">
      <w:pPr>
        <w:pStyle w:val="ListParagraph"/>
        <w:numPr>
          <w:ilvl w:val="0"/>
          <w:numId w:val="1"/>
        </w:numPr>
        <w:ind w:left="-90"/>
      </w:pPr>
      <w:r>
        <w:rPr>
          <w:b/>
          <w:bCs/>
          <w:u w:val="single"/>
        </w:rPr>
        <w:t xml:space="preserve">Product Safety, Product Conformity </w:t>
      </w:r>
      <w:r>
        <w:rPr>
          <w:color w:val="000000"/>
        </w:rPr>
        <w:t>Supplier acknowledges and understands ELECTRO INDUSTRIES/GAUGETECH's expectation of good product quality, and that supplier's quality and safety significantly impacts and contributes to ELECTRO INDUSTRIES/GAUGETECH's own product conformity and product safety. Where FOD entrapment of foreign objects within supplied components, parts boards, raw materials, etc. have the potential of migrating into ELECTRO INDUSTRIES/GAUGETECH products, Supplier shall have a prevention system and FOD prevention controls.</w:t>
      </w:r>
    </w:p>
    <w:p w14:paraId="26C9AD08" w14:textId="77777777" w:rsidR="0082593A" w:rsidRDefault="0082593A" w:rsidP="0082593A"/>
    <w:p w14:paraId="52BCD572" w14:textId="40CD1B78" w:rsidR="0082593A" w:rsidRPr="0082593A" w:rsidRDefault="0082593A" w:rsidP="0082593A">
      <w:pPr>
        <w:pStyle w:val="ListParagraph"/>
        <w:numPr>
          <w:ilvl w:val="0"/>
          <w:numId w:val="1"/>
        </w:numPr>
        <w:ind w:left="-90"/>
      </w:pPr>
      <w:r>
        <w:rPr>
          <w:b/>
          <w:bCs/>
          <w:u w:val="single"/>
        </w:rPr>
        <w:t xml:space="preserve">Packaging, Preservation, Delivery, and Labelling </w:t>
      </w:r>
      <w:r>
        <w:rPr>
          <w:color w:val="000000"/>
        </w:rPr>
        <w:t xml:space="preserve">Supplier will ensure that all the product supplied, shipped, and/or delivered to ELECTRO INDUSTRIES/GAUGETECH is adequately protected from damage, loss, deterioration, degradation, or substitution. Each package must be properly marked or labelled with, as a minimum - part number, lot identifier, origin, and destination.  For serialized assemblies, Supplier will provide barcodes and text for each serial number printed and enclosed in the package and/or emailed to </w:t>
      </w:r>
      <w:hyperlink r:id="rId7" w:history="1">
        <w:r>
          <w:rPr>
            <w:rStyle w:val="Hyperlink"/>
            <w:color w:val="000000"/>
          </w:rPr>
          <w:t>SerialNumbers@electroind.com</w:t>
        </w:r>
      </w:hyperlink>
      <w:r>
        <w:rPr>
          <w:color w:val="000000"/>
        </w:rPr>
        <w:t>. All product received is subject to Quality inspection for conformance to specifications and requirements.</w:t>
      </w:r>
    </w:p>
    <w:p w14:paraId="17A39FF1" w14:textId="77777777" w:rsidR="0082593A" w:rsidRDefault="0082593A" w:rsidP="0082593A"/>
    <w:p w14:paraId="31554D42" w14:textId="35D89620" w:rsidR="0082593A" w:rsidRPr="0082593A" w:rsidRDefault="0082593A" w:rsidP="0082593A">
      <w:pPr>
        <w:pStyle w:val="ListParagraph"/>
        <w:numPr>
          <w:ilvl w:val="0"/>
          <w:numId w:val="1"/>
        </w:numPr>
        <w:ind w:left="-90"/>
      </w:pPr>
      <w:r>
        <w:rPr>
          <w:b/>
          <w:bCs/>
          <w:u w:val="single"/>
        </w:rPr>
        <w:t xml:space="preserve">Non-Disclosure Agreement </w:t>
      </w:r>
      <w:r>
        <w:rPr>
          <w:color w:val="000000"/>
        </w:rPr>
        <w:t>Supplier must abide by ELECTRO INDUSTRIES/GAUGETECH’s expectations of confidentiality and good keeping of all documents, data, and other information provided by ELECTRO INDUSTRIES/GAUGETECH to the Supplier in relation to the contract / purchase order. In specific cases, the Supplier might be asked to sign a comprehensive Nondisclosure Agreement (NDA). Other specific requirements pertaining to specific regulations (ITAR, CGQ, Firearms) when existing, might be included in the NDA.</w:t>
      </w:r>
    </w:p>
    <w:p w14:paraId="51040AF6" w14:textId="77777777" w:rsidR="0082593A" w:rsidRDefault="0082593A" w:rsidP="0082593A"/>
    <w:p w14:paraId="3081A476" w14:textId="4E3CC443" w:rsidR="0082593A" w:rsidRPr="0082593A" w:rsidRDefault="0082593A" w:rsidP="0082593A">
      <w:pPr>
        <w:pStyle w:val="ListParagraph"/>
        <w:numPr>
          <w:ilvl w:val="0"/>
          <w:numId w:val="1"/>
        </w:numPr>
        <w:ind w:left="-90"/>
      </w:pPr>
      <w:r>
        <w:rPr>
          <w:b/>
          <w:bCs/>
          <w:u w:val="single"/>
        </w:rPr>
        <w:t xml:space="preserve">Major Changes </w:t>
      </w:r>
      <w:r>
        <w:rPr>
          <w:color w:val="000000"/>
        </w:rPr>
        <w:t>Supplier is required to inform ELECTRO INDUSTRIES/GAUGETECH of Major Changes prior to incorporation. Major Changes are defined as changes in manufacturing facility location, key personnel, approved processes, and facility shut down or closures.</w:t>
      </w:r>
    </w:p>
    <w:p w14:paraId="0C421E41" w14:textId="77777777" w:rsidR="0082593A" w:rsidRDefault="0082593A" w:rsidP="0082593A"/>
    <w:p w14:paraId="788F0148" w14:textId="77777777" w:rsidR="0082593A" w:rsidRDefault="0082593A" w:rsidP="0082593A">
      <w:pPr>
        <w:pStyle w:val="ListParagraph"/>
        <w:numPr>
          <w:ilvl w:val="0"/>
          <w:numId w:val="1"/>
        </w:numPr>
        <w:ind w:left="-90"/>
      </w:pPr>
      <w:r>
        <w:rPr>
          <w:b/>
          <w:bCs/>
          <w:u w:val="single"/>
        </w:rPr>
        <w:t xml:space="preserve">Source Inspection </w:t>
      </w:r>
      <w:r>
        <w:rPr>
          <w:color w:val="000000"/>
        </w:rPr>
        <w:t>When source inspection is a contractual requirement, the Supplier will provide, at no cost, the necessary facilities and equipment to the ELECTRO INDUSTRIES/GAUGETECH designated inspector. Supplier will notify ELECTRO INDUSTRIES/GAUGETECH at least 24 hours before availability, for adequate planning of the inspection.</w:t>
      </w:r>
    </w:p>
    <w:p w14:paraId="1844303D" w14:textId="77777777" w:rsidR="00196AEF" w:rsidRPr="00166FCE" w:rsidRDefault="00196AEF" w:rsidP="00166FCE"/>
    <w:sectPr w:rsidR="00196AEF" w:rsidRPr="00166F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B72D8" w14:textId="77777777" w:rsidR="0082593A" w:rsidRDefault="0082593A" w:rsidP="007C7D02">
      <w:r>
        <w:separator/>
      </w:r>
    </w:p>
  </w:endnote>
  <w:endnote w:type="continuationSeparator" w:id="0">
    <w:p w14:paraId="55063799" w14:textId="77777777" w:rsidR="0082593A" w:rsidRDefault="0082593A" w:rsidP="007C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92AB" w14:textId="77777777" w:rsidR="005E2BCD" w:rsidRDefault="005E2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81"/>
      <w:gridCol w:w="1159"/>
      <w:gridCol w:w="1315"/>
      <w:gridCol w:w="1925"/>
      <w:gridCol w:w="1562"/>
      <w:gridCol w:w="1608"/>
    </w:tblGrid>
    <w:tr w:rsidR="008F3E1E" w14:paraId="499E2A10" w14:textId="77777777" w:rsidTr="008A2608">
      <w:trPr>
        <w:jc w:val="center"/>
      </w:trPr>
      <w:tc>
        <w:tcPr>
          <w:tcW w:w="1827" w:type="dxa"/>
          <w:tcBorders>
            <w:top w:val="single" w:sz="4" w:space="0" w:color="808080"/>
            <w:left w:val="single" w:sz="4" w:space="0" w:color="808080"/>
            <w:bottom w:val="single" w:sz="4" w:space="0" w:color="808080"/>
            <w:right w:val="single" w:sz="4" w:space="0" w:color="808080"/>
          </w:tcBorders>
        </w:tcPr>
        <w:p w14:paraId="5B4978C6" w14:textId="77777777" w:rsidR="008F3E1E" w:rsidRDefault="008F3E1E" w:rsidP="008A2608">
          <w:pPr>
            <w:pStyle w:val="Footer"/>
            <w:tabs>
              <w:tab w:val="left" w:pos="336"/>
            </w:tabs>
            <w:jc w:val="center"/>
            <w:rPr>
              <w:rFonts w:ascii="Arial" w:hAnsi="Arial" w:cs="Arial"/>
              <w:snapToGrid w:val="0"/>
              <w:sz w:val="18"/>
              <w:szCs w:val="18"/>
            </w:rPr>
          </w:pPr>
          <w:r>
            <w:rPr>
              <w:rFonts w:ascii="Arial" w:hAnsi="Arial" w:cs="Arial"/>
              <w:snapToGrid w:val="0"/>
              <w:sz w:val="18"/>
              <w:szCs w:val="18"/>
            </w:rPr>
            <w:t>Document No.</w:t>
          </w:r>
        </w:p>
      </w:tc>
      <w:tc>
        <w:tcPr>
          <w:tcW w:w="1174" w:type="dxa"/>
          <w:tcBorders>
            <w:top w:val="single" w:sz="4" w:space="0" w:color="808080"/>
            <w:left w:val="single" w:sz="4" w:space="0" w:color="808080"/>
            <w:bottom w:val="single" w:sz="4" w:space="0" w:color="808080"/>
            <w:right w:val="single" w:sz="4" w:space="0" w:color="808080"/>
          </w:tcBorders>
          <w:vAlign w:val="center"/>
          <w:hideMark/>
        </w:tcPr>
        <w:p w14:paraId="2CAB2E1B" w14:textId="77777777" w:rsidR="008F3E1E" w:rsidRDefault="008F3E1E" w:rsidP="008A2608">
          <w:pPr>
            <w:pStyle w:val="Footer"/>
            <w:jc w:val="center"/>
            <w:rPr>
              <w:rFonts w:ascii="Arial" w:hAnsi="Arial" w:cs="Arial"/>
              <w:snapToGrid w:val="0"/>
              <w:sz w:val="18"/>
              <w:szCs w:val="18"/>
            </w:rPr>
          </w:pPr>
          <w:r>
            <w:rPr>
              <w:rFonts w:ascii="Arial" w:hAnsi="Arial" w:cs="Arial"/>
              <w:snapToGrid w:val="0"/>
              <w:sz w:val="18"/>
              <w:szCs w:val="18"/>
            </w:rPr>
            <w:t>Revision</w:t>
          </w:r>
        </w:p>
      </w:tc>
      <w:tc>
        <w:tcPr>
          <w:tcW w:w="1350" w:type="dxa"/>
          <w:tcBorders>
            <w:top w:val="single" w:sz="4" w:space="0" w:color="808080"/>
            <w:left w:val="single" w:sz="4" w:space="0" w:color="808080"/>
            <w:bottom w:val="single" w:sz="4" w:space="0" w:color="808080"/>
            <w:right w:val="single" w:sz="4" w:space="0" w:color="808080"/>
          </w:tcBorders>
          <w:vAlign w:val="center"/>
          <w:hideMark/>
        </w:tcPr>
        <w:p w14:paraId="3E14840C" w14:textId="77777777" w:rsidR="008F3E1E" w:rsidRDefault="008F3E1E" w:rsidP="008A2608">
          <w:pPr>
            <w:pStyle w:val="Footer"/>
            <w:jc w:val="center"/>
            <w:rPr>
              <w:rFonts w:ascii="Arial" w:hAnsi="Arial" w:cs="Arial"/>
              <w:snapToGrid w:val="0"/>
              <w:sz w:val="18"/>
              <w:szCs w:val="18"/>
            </w:rPr>
          </w:pPr>
          <w:r>
            <w:rPr>
              <w:rFonts w:ascii="Arial" w:hAnsi="Arial" w:cs="Arial"/>
              <w:snapToGrid w:val="0"/>
              <w:sz w:val="18"/>
              <w:szCs w:val="18"/>
            </w:rPr>
            <w:t>Drawn By</w:t>
          </w:r>
        </w:p>
      </w:tc>
      <w:tc>
        <w:tcPr>
          <w:tcW w:w="1980" w:type="dxa"/>
          <w:tcBorders>
            <w:top w:val="single" w:sz="4" w:space="0" w:color="808080"/>
            <w:left w:val="single" w:sz="4" w:space="0" w:color="808080"/>
            <w:bottom w:val="single" w:sz="4" w:space="0" w:color="808080"/>
            <w:right w:val="single" w:sz="4" w:space="0" w:color="808080"/>
          </w:tcBorders>
          <w:vAlign w:val="center"/>
          <w:hideMark/>
        </w:tcPr>
        <w:p w14:paraId="341A89B7" w14:textId="77777777" w:rsidR="008F3E1E" w:rsidRDefault="008F3E1E" w:rsidP="008A2608">
          <w:pPr>
            <w:pStyle w:val="Footer"/>
            <w:jc w:val="center"/>
            <w:rPr>
              <w:rFonts w:ascii="Arial" w:hAnsi="Arial" w:cs="Arial"/>
              <w:snapToGrid w:val="0"/>
              <w:sz w:val="18"/>
              <w:szCs w:val="18"/>
            </w:rPr>
          </w:pPr>
          <w:r>
            <w:rPr>
              <w:rFonts w:ascii="Arial" w:hAnsi="Arial" w:cs="Arial"/>
              <w:snapToGrid w:val="0"/>
              <w:sz w:val="18"/>
              <w:szCs w:val="18"/>
            </w:rPr>
            <w:t>Date</w:t>
          </w:r>
        </w:p>
      </w:tc>
      <w:tc>
        <w:tcPr>
          <w:tcW w:w="1620" w:type="dxa"/>
          <w:tcBorders>
            <w:top w:val="single" w:sz="4" w:space="0" w:color="808080"/>
            <w:left w:val="single" w:sz="4" w:space="0" w:color="808080"/>
            <w:bottom w:val="single" w:sz="4" w:space="0" w:color="808080"/>
            <w:right w:val="single" w:sz="4" w:space="0" w:color="808080"/>
          </w:tcBorders>
          <w:vAlign w:val="center"/>
          <w:hideMark/>
        </w:tcPr>
        <w:p w14:paraId="792204A6" w14:textId="77777777" w:rsidR="008F3E1E" w:rsidRDefault="008F3E1E" w:rsidP="008A2608">
          <w:pPr>
            <w:pStyle w:val="Footer"/>
            <w:jc w:val="center"/>
            <w:rPr>
              <w:rFonts w:ascii="Arial" w:hAnsi="Arial" w:cs="Arial"/>
              <w:snapToGrid w:val="0"/>
              <w:sz w:val="18"/>
              <w:szCs w:val="18"/>
            </w:rPr>
          </w:pPr>
          <w:r>
            <w:rPr>
              <w:rFonts w:ascii="Arial" w:hAnsi="Arial" w:cs="Arial"/>
              <w:snapToGrid w:val="0"/>
              <w:sz w:val="18"/>
              <w:szCs w:val="18"/>
            </w:rPr>
            <w:t>ECN</w:t>
          </w:r>
        </w:p>
      </w:tc>
      <w:tc>
        <w:tcPr>
          <w:tcW w:w="1650" w:type="dxa"/>
          <w:tcBorders>
            <w:top w:val="single" w:sz="4" w:space="0" w:color="808080"/>
            <w:left w:val="single" w:sz="4" w:space="0" w:color="808080"/>
            <w:bottom w:val="single" w:sz="4" w:space="0" w:color="808080"/>
            <w:right w:val="single" w:sz="4" w:space="0" w:color="808080"/>
          </w:tcBorders>
          <w:vAlign w:val="center"/>
          <w:hideMark/>
        </w:tcPr>
        <w:p w14:paraId="291945F9" w14:textId="77777777" w:rsidR="008F3E1E" w:rsidRDefault="008F3E1E" w:rsidP="008A2608">
          <w:pPr>
            <w:pStyle w:val="Footer"/>
            <w:jc w:val="center"/>
            <w:rPr>
              <w:rFonts w:ascii="Arial" w:hAnsi="Arial" w:cs="Arial"/>
              <w:snapToGrid w:val="0"/>
              <w:sz w:val="18"/>
              <w:szCs w:val="18"/>
            </w:rPr>
          </w:pPr>
          <w:r>
            <w:rPr>
              <w:rFonts w:ascii="Arial" w:hAnsi="Arial" w:cs="Arial"/>
              <w:snapToGrid w:val="0"/>
              <w:sz w:val="18"/>
              <w:szCs w:val="18"/>
            </w:rPr>
            <w:t>Checked By</w:t>
          </w:r>
        </w:p>
      </w:tc>
    </w:tr>
    <w:tr w:rsidR="008F3E1E" w14:paraId="1A222254" w14:textId="77777777" w:rsidTr="00166FCE">
      <w:trPr>
        <w:trHeight w:val="310"/>
        <w:jc w:val="center"/>
      </w:trPr>
      <w:tc>
        <w:tcPr>
          <w:tcW w:w="1827" w:type="dxa"/>
          <w:tcBorders>
            <w:top w:val="single" w:sz="4" w:space="0" w:color="808080"/>
            <w:left w:val="single" w:sz="4" w:space="0" w:color="808080"/>
            <w:bottom w:val="single" w:sz="4" w:space="0" w:color="808080"/>
            <w:right w:val="single" w:sz="4" w:space="0" w:color="808080"/>
          </w:tcBorders>
          <w:vAlign w:val="center"/>
        </w:tcPr>
        <w:p w14:paraId="53C08206" w14:textId="2BCA07FA" w:rsidR="008F3E1E" w:rsidRDefault="008F3E1E" w:rsidP="00CE0ED0">
          <w:pPr>
            <w:pStyle w:val="Footer"/>
            <w:jc w:val="center"/>
            <w:rPr>
              <w:rFonts w:ascii="Arial" w:hAnsi="Arial" w:cs="Arial"/>
              <w:snapToGrid w:val="0"/>
              <w:sz w:val="18"/>
              <w:szCs w:val="18"/>
            </w:rPr>
          </w:pPr>
          <w:r>
            <w:rPr>
              <w:rFonts w:ascii="Arial" w:hAnsi="Arial" w:cs="Arial"/>
              <w:snapToGrid w:val="0"/>
              <w:sz w:val="18"/>
              <w:szCs w:val="18"/>
            </w:rPr>
            <w:t>QM</w:t>
          </w:r>
          <w:r w:rsidR="0082593A">
            <w:rPr>
              <w:rFonts w:ascii="Arial" w:hAnsi="Arial" w:cs="Arial"/>
              <w:snapToGrid w:val="0"/>
              <w:sz w:val="18"/>
              <w:szCs w:val="18"/>
            </w:rPr>
            <w:t>F</w:t>
          </w:r>
          <w:r>
            <w:rPr>
              <w:rFonts w:ascii="Arial" w:hAnsi="Arial" w:cs="Arial"/>
              <w:snapToGrid w:val="0"/>
              <w:sz w:val="18"/>
              <w:szCs w:val="18"/>
            </w:rPr>
            <w:t>-</w:t>
          </w:r>
          <w:r w:rsidR="0082593A">
            <w:rPr>
              <w:rFonts w:ascii="Arial" w:hAnsi="Arial" w:cs="Arial"/>
              <w:snapToGrid w:val="0"/>
              <w:sz w:val="18"/>
              <w:szCs w:val="18"/>
            </w:rPr>
            <w:t>330</w:t>
          </w:r>
        </w:p>
      </w:tc>
      <w:tc>
        <w:tcPr>
          <w:tcW w:w="1174" w:type="dxa"/>
          <w:tcBorders>
            <w:top w:val="single" w:sz="4" w:space="0" w:color="808080"/>
            <w:left w:val="single" w:sz="4" w:space="0" w:color="808080"/>
            <w:bottom w:val="single" w:sz="4" w:space="0" w:color="808080"/>
            <w:right w:val="single" w:sz="4" w:space="0" w:color="808080"/>
          </w:tcBorders>
          <w:vAlign w:val="center"/>
        </w:tcPr>
        <w:p w14:paraId="1B4914B2" w14:textId="00A0CC74" w:rsidR="008F3E1E" w:rsidRDefault="0082593A" w:rsidP="008A2608">
          <w:pPr>
            <w:pStyle w:val="Footer"/>
            <w:jc w:val="center"/>
            <w:rPr>
              <w:rFonts w:ascii="Arial" w:hAnsi="Arial" w:cs="Arial"/>
              <w:snapToGrid w:val="0"/>
              <w:sz w:val="18"/>
              <w:szCs w:val="18"/>
            </w:rPr>
          </w:pPr>
          <w:r>
            <w:rPr>
              <w:rFonts w:ascii="Arial" w:hAnsi="Arial" w:cs="Arial"/>
              <w:snapToGrid w:val="0"/>
              <w:sz w:val="18"/>
              <w:szCs w:val="18"/>
            </w:rPr>
            <w:t>A</w:t>
          </w:r>
        </w:p>
      </w:tc>
      <w:tc>
        <w:tcPr>
          <w:tcW w:w="1350" w:type="dxa"/>
          <w:tcBorders>
            <w:top w:val="single" w:sz="4" w:space="0" w:color="808080"/>
            <w:left w:val="single" w:sz="4" w:space="0" w:color="808080"/>
            <w:bottom w:val="single" w:sz="4" w:space="0" w:color="808080"/>
            <w:right w:val="single" w:sz="4" w:space="0" w:color="808080"/>
          </w:tcBorders>
          <w:vAlign w:val="center"/>
        </w:tcPr>
        <w:p w14:paraId="5DABB572" w14:textId="548DD1C3" w:rsidR="008F3E1E" w:rsidRDefault="0082593A" w:rsidP="008A2608">
          <w:pPr>
            <w:pStyle w:val="Footer"/>
            <w:jc w:val="center"/>
            <w:rPr>
              <w:rFonts w:ascii="Arial" w:hAnsi="Arial" w:cs="Arial"/>
              <w:snapToGrid w:val="0"/>
              <w:sz w:val="18"/>
              <w:szCs w:val="18"/>
            </w:rPr>
          </w:pPr>
          <w:r>
            <w:rPr>
              <w:rFonts w:ascii="Arial" w:hAnsi="Arial" w:cs="Arial"/>
              <w:snapToGrid w:val="0"/>
              <w:sz w:val="18"/>
              <w:szCs w:val="18"/>
            </w:rPr>
            <w:t>KT</w:t>
          </w:r>
        </w:p>
      </w:tc>
      <w:tc>
        <w:tcPr>
          <w:tcW w:w="1980" w:type="dxa"/>
          <w:tcBorders>
            <w:top w:val="single" w:sz="4" w:space="0" w:color="808080"/>
            <w:left w:val="single" w:sz="4" w:space="0" w:color="808080"/>
            <w:bottom w:val="single" w:sz="4" w:space="0" w:color="808080"/>
            <w:right w:val="single" w:sz="4" w:space="0" w:color="808080"/>
          </w:tcBorders>
          <w:vAlign w:val="center"/>
        </w:tcPr>
        <w:p w14:paraId="1F5CCCE1" w14:textId="759D8168" w:rsidR="008F3E1E" w:rsidRDefault="0082593A" w:rsidP="008A2608">
          <w:pPr>
            <w:pStyle w:val="Footer"/>
            <w:jc w:val="center"/>
            <w:rPr>
              <w:rFonts w:ascii="Arial" w:hAnsi="Arial" w:cs="Arial"/>
              <w:snapToGrid w:val="0"/>
              <w:sz w:val="18"/>
              <w:szCs w:val="18"/>
            </w:rPr>
          </w:pPr>
          <w:r>
            <w:rPr>
              <w:rFonts w:ascii="Arial" w:hAnsi="Arial" w:cs="Arial"/>
              <w:snapToGrid w:val="0"/>
              <w:sz w:val="18"/>
              <w:szCs w:val="18"/>
            </w:rPr>
            <w:t>7/17/2020</w:t>
          </w:r>
        </w:p>
      </w:tc>
      <w:tc>
        <w:tcPr>
          <w:tcW w:w="1620" w:type="dxa"/>
          <w:tcBorders>
            <w:top w:val="single" w:sz="4" w:space="0" w:color="808080"/>
            <w:left w:val="single" w:sz="4" w:space="0" w:color="808080"/>
            <w:bottom w:val="single" w:sz="4" w:space="0" w:color="808080"/>
            <w:right w:val="single" w:sz="4" w:space="0" w:color="808080"/>
          </w:tcBorders>
          <w:vAlign w:val="center"/>
        </w:tcPr>
        <w:p w14:paraId="462C8DE2" w14:textId="44240865" w:rsidR="008F3E1E" w:rsidRDefault="0082593A" w:rsidP="008A2608">
          <w:pPr>
            <w:pStyle w:val="Footer"/>
            <w:jc w:val="center"/>
            <w:rPr>
              <w:rFonts w:ascii="Arial" w:hAnsi="Arial" w:cs="Arial"/>
              <w:snapToGrid w:val="0"/>
              <w:sz w:val="18"/>
              <w:szCs w:val="18"/>
            </w:rPr>
          </w:pPr>
          <w:r>
            <w:rPr>
              <w:rFonts w:ascii="Arial" w:hAnsi="Arial" w:cs="Arial"/>
              <w:snapToGrid w:val="0"/>
              <w:sz w:val="18"/>
              <w:szCs w:val="18"/>
            </w:rPr>
            <w:t>5189</w:t>
          </w:r>
        </w:p>
      </w:tc>
      <w:tc>
        <w:tcPr>
          <w:tcW w:w="1650" w:type="dxa"/>
          <w:tcBorders>
            <w:top w:val="single" w:sz="4" w:space="0" w:color="808080"/>
            <w:left w:val="single" w:sz="4" w:space="0" w:color="808080"/>
            <w:bottom w:val="single" w:sz="4" w:space="0" w:color="808080"/>
            <w:right w:val="single" w:sz="4" w:space="0" w:color="808080"/>
          </w:tcBorders>
          <w:vAlign w:val="center"/>
        </w:tcPr>
        <w:p w14:paraId="364BEF25" w14:textId="2CD4F35E" w:rsidR="008F3E1E" w:rsidRDefault="0082593A" w:rsidP="008A2608">
          <w:pPr>
            <w:pStyle w:val="Footer"/>
            <w:jc w:val="center"/>
            <w:rPr>
              <w:rFonts w:ascii="Arial" w:hAnsi="Arial" w:cs="Arial"/>
              <w:snapToGrid w:val="0"/>
              <w:sz w:val="18"/>
              <w:szCs w:val="18"/>
            </w:rPr>
          </w:pPr>
          <w:r>
            <w:rPr>
              <w:rFonts w:ascii="Arial" w:hAnsi="Arial" w:cs="Arial"/>
              <w:snapToGrid w:val="0"/>
              <w:sz w:val="18"/>
              <w:szCs w:val="18"/>
            </w:rPr>
            <w:t>MW</w:t>
          </w:r>
        </w:p>
      </w:tc>
    </w:tr>
  </w:tbl>
  <w:p w14:paraId="2A8BB9B9" w14:textId="77777777" w:rsidR="008F3E1E" w:rsidRDefault="008F3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0E69" w14:textId="77777777" w:rsidR="005E2BCD" w:rsidRDefault="005E2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C8DEB" w14:textId="77777777" w:rsidR="0082593A" w:rsidRDefault="0082593A" w:rsidP="007C7D02">
      <w:r>
        <w:separator/>
      </w:r>
    </w:p>
  </w:footnote>
  <w:footnote w:type="continuationSeparator" w:id="0">
    <w:p w14:paraId="0594D172" w14:textId="77777777" w:rsidR="0082593A" w:rsidRDefault="0082593A" w:rsidP="007C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89E4" w14:textId="77777777" w:rsidR="005E2BCD" w:rsidRDefault="005E2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39"/>
      <w:gridCol w:w="1549"/>
      <w:gridCol w:w="2742"/>
    </w:tblGrid>
    <w:tr w:rsidR="007C7D02" w14:paraId="266100D8" w14:textId="77777777" w:rsidTr="001F4EBD">
      <w:trPr>
        <w:trHeight w:val="330"/>
        <w:jc w:val="center"/>
      </w:trPr>
      <w:tc>
        <w:tcPr>
          <w:tcW w:w="5073" w:type="dxa"/>
          <w:tcBorders>
            <w:top w:val="double" w:sz="4" w:space="0" w:color="auto"/>
            <w:left w:val="double" w:sz="4" w:space="0" w:color="auto"/>
            <w:bottom w:val="nil"/>
            <w:right w:val="nil"/>
          </w:tcBorders>
        </w:tcPr>
        <w:p w14:paraId="53A5FD3B" w14:textId="77777777" w:rsidR="007C7D02" w:rsidRDefault="007C7D02" w:rsidP="001F4EBD">
          <w:pPr>
            <w:pStyle w:val="Heading5"/>
            <w:tabs>
              <w:tab w:val="left" w:pos="660"/>
              <w:tab w:val="center" w:pos="2536"/>
              <w:tab w:val="right" w:pos="8505"/>
            </w:tabs>
            <w:jc w:val="left"/>
            <w:rPr>
              <w:rFonts w:ascii="Times New Roman" w:eastAsia="Arial Unicode MS" w:hAnsi="Times New Roman"/>
              <w:sz w:val="22"/>
            </w:rPr>
          </w:pPr>
          <w:r>
            <w:rPr>
              <w:rFonts w:ascii="Times New Roman" w:hAnsi="Times New Roman"/>
              <w:sz w:val="20"/>
            </w:rPr>
            <w:tab/>
            <w:t>ELECTRO INDUSTRIES/GAUGETECH</w:t>
          </w:r>
          <w:r>
            <w:rPr>
              <w:rFonts w:ascii="Times New Roman" w:hAnsi="Times New Roman"/>
              <w:sz w:val="20"/>
            </w:rPr>
            <w:tab/>
          </w:r>
          <w:r w:rsidR="000D6326">
            <w:object w:dxaOrig="1440" w:dyaOrig="1440" w14:anchorId="23C1E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pt;margin-top:5.2pt;width:27pt;height:27pt;z-index:-251658752;mso-wrap-edited:f;mso-position-horizontal-relative:text;mso-position-vertical-relative:page" o:preferrelative="f" wrapcoords="-300 0 -300 21273 21600 21273 21600 0 -300 0">
                <v:imagedata r:id="rId1" o:title="" blacklevel="11796f"/>
                <o:lock v:ext="edit" aspectratio="f"/>
                <w10:wrap anchorx="page" anchory="page"/>
              </v:shape>
              <o:OLEObject Type="Embed" ProgID="MSPhotoEd.3" ShapeID="_x0000_s2049" DrawAspect="Content" ObjectID="_1656998826" r:id="rId2"/>
            </w:object>
          </w:r>
          <w:r>
            <w:rPr>
              <w:rFonts w:ascii="Times New Roman" w:hAnsi="Times New Roman"/>
              <w:sz w:val="20"/>
            </w:rPr>
            <w:t xml:space="preserve">     </w:t>
          </w:r>
          <w:r>
            <w:rPr>
              <w:rFonts w:ascii="Times New Roman" w:hAnsi="Times New Roman"/>
              <w:sz w:val="22"/>
            </w:rPr>
            <w:t xml:space="preserve">    </w:t>
          </w:r>
        </w:p>
      </w:tc>
      <w:tc>
        <w:tcPr>
          <w:tcW w:w="4539" w:type="dxa"/>
          <w:gridSpan w:val="2"/>
          <w:tcBorders>
            <w:top w:val="double" w:sz="4" w:space="0" w:color="auto"/>
            <w:left w:val="nil"/>
            <w:bottom w:val="nil"/>
            <w:right w:val="double" w:sz="4" w:space="0" w:color="auto"/>
          </w:tcBorders>
        </w:tcPr>
        <w:p w14:paraId="21F09A6D" w14:textId="7852DA9F" w:rsidR="007C7D02" w:rsidRPr="00FE5214" w:rsidRDefault="00A9107F" w:rsidP="00166FCE">
          <w:pPr>
            <w:pStyle w:val="Heading5"/>
            <w:tabs>
              <w:tab w:val="right" w:pos="8505"/>
            </w:tabs>
            <w:jc w:val="center"/>
            <w:rPr>
              <w:rFonts w:asciiTheme="minorHAnsi" w:eastAsia="Arial Unicode MS" w:hAnsiTheme="minorHAnsi"/>
              <w:position w:val="-18"/>
              <w14:shadow w14:blurRad="50800" w14:dist="38100" w14:dir="2700000" w14:sx="100000" w14:sy="100000" w14:kx="0" w14:ky="0" w14:algn="tl">
                <w14:srgbClr w14:val="000000">
                  <w14:alpha w14:val="60000"/>
                </w14:srgbClr>
              </w14:shadow>
            </w:rPr>
          </w:pPr>
          <w:r>
            <w:rPr>
              <w:rFonts w:ascii="Times New Roman" w:hAnsi="Times New Roman"/>
              <w:sz w:val="20"/>
            </w:rPr>
            <w:t xml:space="preserve">                 </w:t>
          </w:r>
          <w:r w:rsidR="00166FCE">
            <w:rPr>
              <w:rFonts w:ascii="Times New Roman" w:hAnsi="Times New Roman"/>
              <w:sz w:val="20"/>
            </w:rPr>
            <w:t>QMF</w:t>
          </w:r>
          <w:r w:rsidR="0082593A">
            <w:rPr>
              <w:rFonts w:ascii="Times New Roman" w:hAnsi="Times New Roman"/>
              <w:sz w:val="20"/>
            </w:rPr>
            <w:t>-330 Standard QA Clauses for PO</w:t>
          </w:r>
        </w:p>
      </w:tc>
    </w:tr>
    <w:tr w:rsidR="007C7D02" w14:paraId="2CCC7571" w14:textId="77777777" w:rsidTr="001F4EBD">
      <w:trPr>
        <w:trHeight w:val="360"/>
        <w:jc w:val="center"/>
      </w:trPr>
      <w:tc>
        <w:tcPr>
          <w:tcW w:w="5073" w:type="dxa"/>
          <w:tcBorders>
            <w:top w:val="nil"/>
            <w:left w:val="double" w:sz="4" w:space="0" w:color="auto"/>
            <w:bottom w:val="double" w:sz="4" w:space="0" w:color="auto"/>
            <w:right w:val="nil"/>
          </w:tcBorders>
        </w:tcPr>
        <w:p w14:paraId="726A2F9D" w14:textId="77777777" w:rsidR="007C7D02" w:rsidRPr="0071134E" w:rsidRDefault="007C7D02" w:rsidP="001F4EBD">
          <w:pPr>
            <w:pStyle w:val="Heading5"/>
            <w:tabs>
              <w:tab w:val="right" w:pos="8505"/>
            </w:tabs>
            <w:jc w:val="left"/>
            <w:rPr>
              <w:rFonts w:ascii="Times New Roman" w:hAnsi="Times New Roman"/>
              <w:sz w:val="18"/>
            </w:rPr>
          </w:pPr>
          <w:r>
            <w:rPr>
              <w:rFonts w:ascii="Times New Roman" w:hAnsi="Times New Roman"/>
              <w:sz w:val="20"/>
            </w:rPr>
            <w:t xml:space="preserve">             ISO 9001</w:t>
          </w:r>
        </w:p>
      </w:tc>
      <w:tc>
        <w:tcPr>
          <w:tcW w:w="1599" w:type="dxa"/>
          <w:tcBorders>
            <w:top w:val="nil"/>
            <w:left w:val="nil"/>
            <w:bottom w:val="double" w:sz="4" w:space="0" w:color="auto"/>
            <w:right w:val="nil"/>
          </w:tcBorders>
        </w:tcPr>
        <w:p w14:paraId="6EB18F5F" w14:textId="257D0D13" w:rsidR="007C7D02" w:rsidRDefault="007C7D02" w:rsidP="00411872">
          <w:pPr>
            <w:pStyle w:val="Heading5"/>
            <w:tabs>
              <w:tab w:val="right" w:pos="8505"/>
            </w:tabs>
            <w:jc w:val="left"/>
            <w:rPr>
              <w:rFonts w:ascii="Times New Roman" w:eastAsia="Arial Unicode MS" w:hAnsi="Times New Roman"/>
              <w:bCs/>
              <w:sz w:val="22"/>
            </w:rPr>
          </w:pPr>
          <w:r>
            <w:rPr>
              <w:rFonts w:ascii="Times New Roman" w:hAnsi="Times New Roman"/>
              <w:b/>
              <w:bCs/>
              <w:sz w:val="22"/>
            </w:rPr>
            <w:t xml:space="preserve">Revision - </w:t>
          </w:r>
          <w:r w:rsidR="0082593A">
            <w:rPr>
              <w:rFonts w:ascii="Times New Roman" w:hAnsi="Times New Roman"/>
              <w:b/>
              <w:bCs/>
              <w:sz w:val="22"/>
            </w:rPr>
            <w:t>A</w:t>
          </w:r>
        </w:p>
      </w:tc>
      <w:tc>
        <w:tcPr>
          <w:tcW w:w="2940" w:type="dxa"/>
          <w:tcBorders>
            <w:top w:val="nil"/>
            <w:left w:val="nil"/>
            <w:bottom w:val="double" w:sz="4" w:space="0" w:color="auto"/>
            <w:right w:val="double" w:sz="4" w:space="0" w:color="auto"/>
          </w:tcBorders>
        </w:tcPr>
        <w:p w14:paraId="2CD61ABC" w14:textId="77777777" w:rsidR="007C7D02" w:rsidRPr="00FE5214" w:rsidRDefault="00A9107F" w:rsidP="001F4EBD">
          <w:pPr>
            <w:pStyle w:val="Heading5"/>
            <w:tabs>
              <w:tab w:val="right" w:pos="8505"/>
            </w:tabs>
            <w:jc w:val="center"/>
            <w:rPr>
              <w:rFonts w:ascii="Times New Roman" w:eastAsia="Arial Unicode MS" w:hAnsi="Times New Roman"/>
              <w:position w:val="14"/>
              <w:sz w:val="22"/>
              <w14:shadow w14:blurRad="50800" w14:dist="38100" w14:dir="2700000" w14:sx="100000" w14:sy="100000" w14:kx="0" w14:ky="0" w14:algn="tl">
                <w14:srgbClr w14:val="000000">
                  <w14:alpha w14:val="60000"/>
                </w14:srgbClr>
              </w14:shadow>
            </w:rPr>
          </w:pPr>
          <w:r>
            <w:rPr>
              <w:rFonts w:ascii="Times New Roman" w:eastAsia="Arial Unicode MS" w:hAnsi="Times New Roman"/>
              <w:position w:val="14"/>
              <w:sz w:val="22"/>
              <w14:shadow w14:blurRad="50800" w14:dist="38100" w14:dir="2700000" w14:sx="100000" w14:sy="100000" w14:kx="0" w14:ky="0" w14:algn="tl">
                <w14:srgbClr w14:val="000000">
                  <w14:alpha w14:val="60000"/>
                </w14:srgbClr>
              </w14:shadow>
            </w:rPr>
            <w:t xml:space="preserve">                           </w:t>
          </w:r>
          <w:r w:rsidR="007C7D02" w:rsidRPr="00FE5214">
            <w:rPr>
              <w:rFonts w:ascii="Times New Roman" w:eastAsia="Arial Unicode MS" w:hAnsi="Times New Roman"/>
              <w:position w:val="14"/>
              <w:sz w:val="22"/>
              <w14:shadow w14:blurRad="50800" w14:dist="38100" w14:dir="2700000" w14:sx="100000" w14:sy="100000" w14:kx="0" w14:ky="0" w14:algn="tl">
                <w14:srgbClr w14:val="000000">
                  <w14:alpha w14:val="60000"/>
                </w14:srgbClr>
              </w14:shadow>
            </w:rPr>
            <w:t xml:space="preserve">Page </w:t>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fldChar w:fldCharType="begin"/>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instrText xml:space="preserve"> PAGE  \* Arabic  \* MERGEFORMAT </w:instrText>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fldChar w:fldCharType="separate"/>
          </w:r>
          <w:r w:rsidR="009363C3">
            <w:rPr>
              <w:rFonts w:ascii="Times New Roman" w:eastAsia="Arial Unicode MS" w:hAnsi="Times New Roman"/>
              <w:b/>
              <w:noProof/>
              <w:position w:val="14"/>
              <w:sz w:val="22"/>
              <w14:shadow w14:blurRad="50800" w14:dist="38100" w14:dir="2700000" w14:sx="100000" w14:sy="100000" w14:kx="0" w14:ky="0" w14:algn="tl">
                <w14:srgbClr w14:val="000000">
                  <w14:alpha w14:val="60000"/>
                </w14:srgbClr>
              </w14:shadow>
            </w:rPr>
            <w:t>1</w:t>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fldChar w:fldCharType="end"/>
          </w:r>
          <w:r w:rsidR="007C7D02" w:rsidRPr="00FE5214">
            <w:rPr>
              <w:rFonts w:ascii="Times New Roman" w:eastAsia="Arial Unicode MS" w:hAnsi="Times New Roman"/>
              <w:position w:val="14"/>
              <w:sz w:val="22"/>
              <w14:shadow w14:blurRad="50800" w14:dist="38100" w14:dir="2700000" w14:sx="100000" w14:sy="100000" w14:kx="0" w14:ky="0" w14:algn="tl">
                <w14:srgbClr w14:val="000000">
                  <w14:alpha w14:val="60000"/>
                </w14:srgbClr>
              </w14:shadow>
            </w:rPr>
            <w:t xml:space="preserve"> of </w:t>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fldChar w:fldCharType="begin"/>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instrText xml:space="preserve"> NUMPAGES  \* Arabic  \* MERGEFORMAT </w:instrText>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fldChar w:fldCharType="separate"/>
          </w:r>
          <w:r w:rsidR="009363C3">
            <w:rPr>
              <w:rFonts w:ascii="Times New Roman" w:eastAsia="Arial Unicode MS" w:hAnsi="Times New Roman"/>
              <w:b/>
              <w:noProof/>
              <w:position w:val="14"/>
              <w:sz w:val="22"/>
              <w14:shadow w14:blurRad="50800" w14:dist="38100" w14:dir="2700000" w14:sx="100000" w14:sy="100000" w14:kx="0" w14:ky="0" w14:algn="tl">
                <w14:srgbClr w14:val="000000">
                  <w14:alpha w14:val="60000"/>
                </w14:srgbClr>
              </w14:shadow>
            </w:rPr>
            <w:t>1</w:t>
          </w:r>
          <w:r w:rsidR="007C7D02" w:rsidRPr="00FE5214">
            <w:rPr>
              <w:rFonts w:ascii="Times New Roman" w:eastAsia="Arial Unicode MS" w:hAnsi="Times New Roman"/>
              <w:b/>
              <w:position w:val="14"/>
              <w:sz w:val="22"/>
              <w14:shadow w14:blurRad="50800" w14:dist="38100" w14:dir="2700000" w14:sx="100000" w14:sy="100000" w14:kx="0" w14:ky="0" w14:algn="tl">
                <w14:srgbClr w14:val="000000">
                  <w14:alpha w14:val="60000"/>
                </w14:srgbClr>
              </w14:shadow>
            </w:rPr>
            <w:fldChar w:fldCharType="end"/>
          </w:r>
        </w:p>
      </w:tc>
    </w:tr>
  </w:tbl>
  <w:p w14:paraId="3AC22D0B" w14:textId="77777777" w:rsidR="007C7D02" w:rsidRDefault="007C7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B635" w14:textId="77777777" w:rsidR="005E2BCD" w:rsidRDefault="005E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DF2"/>
    <w:multiLevelType w:val="hybridMultilevel"/>
    <w:tmpl w:val="EA2E6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3A"/>
    <w:rsid w:val="000243A3"/>
    <w:rsid w:val="000D6326"/>
    <w:rsid w:val="001525DB"/>
    <w:rsid w:val="00166FCE"/>
    <w:rsid w:val="00196AEF"/>
    <w:rsid w:val="002627AD"/>
    <w:rsid w:val="00411872"/>
    <w:rsid w:val="004520A2"/>
    <w:rsid w:val="005E2BCD"/>
    <w:rsid w:val="007C7D02"/>
    <w:rsid w:val="0082593A"/>
    <w:rsid w:val="00826F4C"/>
    <w:rsid w:val="00897A21"/>
    <w:rsid w:val="008F3E1E"/>
    <w:rsid w:val="009363C3"/>
    <w:rsid w:val="00A77E21"/>
    <w:rsid w:val="00A9107F"/>
    <w:rsid w:val="00BA4573"/>
    <w:rsid w:val="00BD780B"/>
    <w:rsid w:val="00BF46DF"/>
    <w:rsid w:val="00C94505"/>
    <w:rsid w:val="00CE0ED0"/>
    <w:rsid w:val="00D06F97"/>
    <w:rsid w:val="00D15393"/>
    <w:rsid w:val="00E22AEE"/>
    <w:rsid w:val="00E25BA9"/>
    <w:rsid w:val="00E777B0"/>
    <w:rsid w:val="00EF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ECDCA7"/>
  <w15:docId w15:val="{5A40309E-ED77-405A-8468-BA402D48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3A"/>
    <w:pPr>
      <w:spacing w:after="0" w:line="240" w:lineRule="auto"/>
    </w:pPr>
    <w:rPr>
      <w:rFonts w:ascii="Times" w:eastAsia="Times" w:hAnsi="Times" w:cs="Times New Roman"/>
      <w:sz w:val="24"/>
      <w:szCs w:val="20"/>
      <w:lang w:eastAsia="en-US"/>
    </w:rPr>
  </w:style>
  <w:style w:type="paragraph" w:styleId="Heading5">
    <w:name w:val="heading 5"/>
    <w:basedOn w:val="Normal"/>
    <w:next w:val="Normal"/>
    <w:link w:val="Heading5Char"/>
    <w:qFormat/>
    <w:rsid w:val="007C7D02"/>
    <w:pPr>
      <w:keepNext/>
      <w:jc w:val="right"/>
      <w:outlineLvl w:val="4"/>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D02"/>
    <w:pPr>
      <w:tabs>
        <w:tab w:val="center" w:pos="4680"/>
        <w:tab w:val="right" w:pos="9360"/>
      </w:tabs>
    </w:pPr>
  </w:style>
  <w:style w:type="character" w:customStyle="1" w:styleId="HeaderChar">
    <w:name w:val="Header Char"/>
    <w:basedOn w:val="DefaultParagraphFont"/>
    <w:link w:val="Header"/>
    <w:uiPriority w:val="99"/>
    <w:rsid w:val="007C7D02"/>
  </w:style>
  <w:style w:type="paragraph" w:styleId="Footer">
    <w:name w:val="footer"/>
    <w:basedOn w:val="Normal"/>
    <w:link w:val="FooterChar"/>
    <w:uiPriority w:val="99"/>
    <w:unhideWhenUsed/>
    <w:rsid w:val="007C7D02"/>
    <w:pPr>
      <w:tabs>
        <w:tab w:val="center" w:pos="4680"/>
        <w:tab w:val="right" w:pos="9360"/>
      </w:tabs>
    </w:pPr>
  </w:style>
  <w:style w:type="character" w:customStyle="1" w:styleId="FooterChar">
    <w:name w:val="Footer Char"/>
    <w:basedOn w:val="DefaultParagraphFont"/>
    <w:link w:val="Footer"/>
    <w:uiPriority w:val="99"/>
    <w:rsid w:val="007C7D02"/>
  </w:style>
  <w:style w:type="character" w:customStyle="1" w:styleId="Heading5Char">
    <w:name w:val="Heading 5 Char"/>
    <w:basedOn w:val="DefaultParagraphFont"/>
    <w:link w:val="Heading5"/>
    <w:rsid w:val="007C7D02"/>
    <w:rPr>
      <w:rFonts w:ascii="Arial" w:eastAsia="Times New Roman" w:hAnsi="Arial" w:cs="Times New Roman"/>
      <w:sz w:val="24"/>
      <w:szCs w:val="20"/>
      <w:lang w:eastAsia="en-US"/>
    </w:rPr>
  </w:style>
  <w:style w:type="table" w:styleId="TableGrid">
    <w:name w:val="Table Grid"/>
    <w:basedOn w:val="TableNormal"/>
    <w:uiPriority w:val="59"/>
    <w:rsid w:val="007C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80B"/>
    <w:rPr>
      <w:rFonts w:ascii="Tahoma" w:hAnsi="Tahoma" w:cs="Tahoma"/>
      <w:sz w:val="16"/>
      <w:szCs w:val="16"/>
    </w:rPr>
  </w:style>
  <w:style w:type="character" w:customStyle="1" w:styleId="BalloonTextChar">
    <w:name w:val="Balloon Text Char"/>
    <w:basedOn w:val="DefaultParagraphFont"/>
    <w:link w:val="BalloonText"/>
    <w:uiPriority w:val="99"/>
    <w:semiHidden/>
    <w:rsid w:val="00BD780B"/>
    <w:rPr>
      <w:rFonts w:ascii="Tahoma" w:hAnsi="Tahoma" w:cs="Tahoma"/>
      <w:sz w:val="16"/>
      <w:szCs w:val="16"/>
    </w:rPr>
  </w:style>
  <w:style w:type="character" w:styleId="Hyperlink">
    <w:name w:val="Hyperlink"/>
    <w:uiPriority w:val="99"/>
    <w:unhideWhenUsed/>
    <w:rsid w:val="0082593A"/>
    <w:rPr>
      <w:color w:val="0563C1"/>
      <w:u w:val="single"/>
    </w:rPr>
  </w:style>
  <w:style w:type="paragraph" w:styleId="ListParagraph">
    <w:name w:val="List Paragraph"/>
    <w:basedOn w:val="Normal"/>
    <w:uiPriority w:val="34"/>
    <w:qFormat/>
    <w:rsid w:val="0082593A"/>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rialNumbers@electroin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vr\Inboxes\ktsang\QMF%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QMF Forms template</Template>
  <TotalTime>27</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Tsang</dc:creator>
  <cp:lastModifiedBy>Kenneth Tsang</cp:lastModifiedBy>
  <cp:revision>3</cp:revision>
  <cp:lastPrinted>2017-01-19T20:28:00Z</cp:lastPrinted>
  <dcterms:created xsi:type="dcterms:W3CDTF">2020-07-17T12:39:00Z</dcterms:created>
  <dcterms:modified xsi:type="dcterms:W3CDTF">2020-07-23T12:41:00Z</dcterms:modified>
</cp:coreProperties>
</file>